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F1" w:rsidRDefault="002D34B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64845" cy="739775"/>
            <wp:effectExtent l="0" t="0" r="0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0F1" w:rsidRDefault="002D34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ЧЕРЕПАНОВСКОГО РАЙОНА</w:t>
      </w:r>
    </w:p>
    <w:p w:rsidR="004D50F1" w:rsidRDefault="002D34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D50F1" w:rsidRDefault="004D50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F1" w:rsidRDefault="002D34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4D50F1" w:rsidRDefault="004D5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F1" w:rsidRDefault="002D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18.10.2024 № 904</w:t>
      </w:r>
    </w:p>
    <w:p w:rsidR="004D50F1" w:rsidRDefault="004D5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0F1" w:rsidRDefault="002D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Черепановского района Новосибирской области от 06.10.2022г. № 639 «Об утверждении Перечня товарных рынков для содействия развитию конкуренции в Черепановском районе Новосибирской области на 2023-2025 годы и Плана мероприятий («дорожная карта») по содействию развитию конкуренции на товарных рынках Черепановского района Новосибирской области на 2023-2025 годы»</w:t>
      </w:r>
    </w:p>
    <w:p w:rsidR="004D50F1" w:rsidRDefault="004D5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F1" w:rsidRDefault="002D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Стандарта развития конкуренции в субъектах Российской Федерации, утвержденного Распоряжением Правительства Российской Федерации от 17.04.2019 года № 768-р «Об утверждении стандарта развития конкуренции в субъектах Российской Федерации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YS Text" w:eastAsia="Times New Roman" w:hAnsi="YS Text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5 Распоряжения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2021-2025 годы», </w:t>
      </w:r>
      <w:proofErr w:type="gramEnd"/>
    </w:p>
    <w:p w:rsidR="004D50F1" w:rsidRDefault="002D3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D50F1" w:rsidRDefault="002D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мероприятий («дорожная карта») по содействию развитию конкуренции на товарных рынках Черепановского района Новосибирской области на 2023-2025 годы (далее - «дорожная карта») согласно приложению № 1.</w:t>
      </w:r>
    </w:p>
    <w:p w:rsidR="004D50F1" w:rsidRDefault="002D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на официальном сайте администрации Черепановского района.</w:t>
      </w:r>
    </w:p>
    <w:p w:rsidR="004D50F1" w:rsidRDefault="002D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Черепановского района Новосибирской области по экономике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Н.А.Буховец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0F1" w:rsidRDefault="002D3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50F1" w:rsidRDefault="004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F1" w:rsidRDefault="007F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24A6B8ED" wp14:editId="2B1118DE">
            <wp:simplePos x="0" y="0"/>
            <wp:positionH relativeFrom="page">
              <wp:posOffset>3499658</wp:posOffset>
            </wp:positionH>
            <wp:positionV relativeFrom="page">
              <wp:posOffset>8470669</wp:posOffset>
            </wp:positionV>
            <wp:extent cx="2751513" cy="1254960"/>
            <wp:effectExtent l="0" t="0" r="0" b="254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07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0F1" w:rsidRDefault="002D3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Черепановского района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И.В.Жарков</w:t>
      </w:r>
      <w:proofErr w:type="spellEnd"/>
    </w:p>
    <w:p w:rsidR="004D50F1" w:rsidRDefault="004D50F1" w:rsidP="007F0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0F1" w:rsidRDefault="004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0F1" w:rsidRDefault="004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0F1" w:rsidRDefault="004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0F1" w:rsidRDefault="004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0F1" w:rsidRDefault="004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0F1" w:rsidRDefault="002D34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Т.С. Щукина</w:t>
      </w:r>
    </w:p>
    <w:p w:rsidR="004D50F1" w:rsidRDefault="002D34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D50F1">
          <w:pgSz w:w="11906" w:h="16838"/>
          <w:pgMar w:top="1134" w:right="567" w:bottom="1134" w:left="1418" w:header="0" w:footer="0" w:gutter="0"/>
          <w:cols w:space="720"/>
          <w:formProt w:val="0"/>
          <w:docGrid w:linePitch="354" w:charSpace="-4916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22445</w:t>
      </w:r>
    </w:p>
    <w:tbl>
      <w:tblPr>
        <w:tblStyle w:val="af0"/>
        <w:tblW w:w="15276" w:type="dxa"/>
        <w:tblLayout w:type="fixed"/>
        <w:tblLook w:val="04A0" w:firstRow="1" w:lastRow="0" w:firstColumn="1" w:lastColumn="0" w:noHBand="0" w:noVBand="1"/>
      </w:tblPr>
      <w:tblGrid>
        <w:gridCol w:w="4903"/>
        <w:gridCol w:w="4708"/>
        <w:gridCol w:w="5665"/>
      </w:tblGrid>
      <w:tr w:rsidR="004D50F1"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4D50F1" w:rsidRDefault="004D50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4D50F1" w:rsidRDefault="004D50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4D50F1" w:rsidRDefault="002D34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Приложение</w:t>
            </w:r>
          </w:p>
          <w:p w:rsidR="004D50F1" w:rsidRDefault="002D34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 постановлению администрации</w:t>
            </w:r>
          </w:p>
          <w:p w:rsidR="004D50F1" w:rsidRDefault="002D34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Черепановского района № 904 от 18.10.2024</w:t>
            </w:r>
          </w:p>
        </w:tc>
      </w:tr>
    </w:tbl>
    <w:p w:rsidR="004D50F1" w:rsidRDefault="004D50F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D50F1" w:rsidRDefault="004D50F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D50F1" w:rsidRDefault="002D3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ПЛАН МЕРОПРИЯТИЙ </w:t>
      </w:r>
    </w:p>
    <w:p w:rsidR="004D50F1" w:rsidRDefault="002D3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(«Дорожная карта») по содействию развитию конкуренции на товарных рынках Черепановского района Новосибирской области на 2023-2025 годы </w:t>
      </w:r>
    </w:p>
    <w:p w:rsidR="004D50F1" w:rsidRDefault="004D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24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50"/>
        <w:gridCol w:w="4425"/>
        <w:gridCol w:w="2960"/>
        <w:gridCol w:w="1384"/>
        <w:gridCol w:w="3132"/>
        <w:gridCol w:w="279"/>
        <w:gridCol w:w="2794"/>
      </w:tblGrid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достижению ключевого показателя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мероприятия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и его значение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содействию развитию конкуренции на товарных рынках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услуг дошкольного образования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муниципальной системе дошкольного образования Черепановского района программу дошкольного образования реализуют 19 детских садов с общей численностью 1950 человек.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детям, желающим посещать детские сады в возрасте с 3 лет, место в детском саду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и частные детские сады в районе отсутствуют. По результатам исследования можно сделать вывод, что в настоящее время потребность в увеличении количества организаций на рынке услуг дошкольного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 – 1,6, но не менее 1 частной организации.</w:t>
            </w:r>
            <w:proofErr w:type="gramEnd"/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 дошкольного возраста в частных 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дошкольного возраста в частных образовательных организациях в общей численности обучающихся дошкольного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услуг общего образования</w:t>
            </w:r>
          </w:p>
        </w:tc>
      </w:tr>
      <w:tr w:rsidR="004D50F1">
        <w:trPr>
          <w:trHeight w:val="240"/>
        </w:trPr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Черепановском районе 22 муниципальных бюджетных средних образовательных учреждения, 4 основных общеобразовательных учреждения, 1 специальная (коррекционная) школа-интернат для воспитанников с ограниченными возможностями здоровья и 2 муниципальных автономных общеобразовательных учреждения МАОУ «СОШ № 1 г.Черепанова», МАОУ «СОШ № 3 г.Черепанова» входят в структуру образовательных учреждений.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Одной из проблем остается низкая наполняемость классов в сельских школах, средняя по району  – 10,5 человек.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 сектор данного рынка не представлен организациями.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02.09.2021№ 2424-р: 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 – 1, но не менее 1 частной организации.</w:t>
            </w:r>
            <w:proofErr w:type="gramEnd"/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частных образовательных организаций и индивидуальных предпринимателей по вопросам получения лицензии на ведение образовательной деятельности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частных образовательных организаций и индивидуальных предпринимателей, реализующих программы общего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в частных образовательных организациях в общем числе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услуг среднего профессионального образования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профессионального образования в районе представляют 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учреждения:</w:t>
            </w:r>
          </w:p>
          <w:p w:rsidR="004D50F1" w:rsidRDefault="002D34B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НСО «Черепановский педагогический колледж», ГБПОУ НСО «Черепановский политехнический колледж»</w:t>
            </w:r>
          </w:p>
          <w:p w:rsidR="004D50F1" w:rsidRDefault="002D34B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данного рынка не представлен организациями.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 – 7,5, но не менее 1 частной организации.</w:t>
            </w:r>
            <w:proofErr w:type="gramEnd"/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помощи частным образовательным организациям, предоставляющим услуги по образовательным программам среднего профессионального образования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хозяйствующих субъектов частной формы собственности в общем объеме хозяйствующих субъектов в сфере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профессионального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частных образовательных организациях, реализующих основные профессиональные образовательные программы - 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профессионального образования (ед.):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Рынок услуг дополнительного образования детей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дополнительного образования в районе предоставляют 2 учреждения: 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и МУ ДО «Молодежный центр развития физической культуры и спорта».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реализует свои услуги, также, на базе общеобразовательных учреждений.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  не является конкурентным в связи с отсутствием в районе коммерческих организаций. Наблюдается отсутствие заинтересованности в организации дополнительного образования негосударственными организациями.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 направлением развития конкуренции на рынке предоставления дополнительных образовательных услуг должна стать работа по расширению спектра услуг существующих организаций, по созданию условий для появления частных организаций дополнительного образования.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услуг дополнительного образования детей, процентов – 5.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мероприятий с целью повышения мотивации семей к вовлечению детей к занятию дополнительным образованием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охвата учащихся системой дополнительного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численности детей, которым в отчетном периоде оказаны услуги дополнительного образования  организациями частной формы собственности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(%.):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Черепановского района Новосибирской области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информации для потребителей о возможностях получения дополнительного образования в образовательных организациях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охвата учащихся системой дополнительного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сайтах образовательных учреждений: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– да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да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да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услуг детского отдыха и оздоровления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Черепановского  района находится 2 стационарных оздоровительных лагеря  ДООЛ «Радуга» и ДООЛ «Солнышко», в которых в летний период 2022 года отдохнули 450 детей Черепановского района.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Коммерческие организации на данном рынке отсутствуют. Рынок услуг детского отдыха и оздоровления детей  не является конкурентным в связи с отсутствием в районе негосударственных организаций.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и иные барьеры, затрудняющие предпринимательскую деятельность на данном рынке услуг, в районе отсутствуют.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отдыха и оздоровления детей частной формы собственности, процентов – 20.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организационной, методической и общественной поддержки частных инициатив негосударственных организаций отдыха, оздоровления детей, в том числе на принципах муниципального частного партнерства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отдохнувших в лагерях с дневным пребыванием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отдыха и оздоровления детей частной формы собственности (ед.):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обслуживания населения администрации Черепановского района Новосибирской области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информации для потребителей о возможностях получения государственной компенсации за отдых детей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отдохнувших в лагерях с дневным пребыванием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сайте управления образования: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– да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да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да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обслуживания населения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медицинских услуг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Черепановском  районе осуществляет деятельность в данной сфере – ГБУЗ НСО «Черепановская ЦРБ», 3   участковые больницы -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Мильтюшихинская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Огнево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 врачебных амбулаторий и 34 фельдшерско-акушерских пунктов.</w:t>
            </w:r>
          </w:p>
          <w:p w:rsidR="004D50F1" w:rsidRDefault="002D34B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данного рынка представлен  юридическими лицами и индивидуальными предпринимателями, такими как: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Эсто-Дент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4D50F1" w:rsidRDefault="002D34B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«Улыбка», ООО «Ника», ООО «Стоматология» - стоматологические услуги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ООО «СИТИЛАБ-СИБИРЬ», клиника «АСТРАЛАБ»  и ООО «Медицинский центр Успех» - медицинские услуги.</w:t>
            </w:r>
            <w:proofErr w:type="gramEnd"/>
          </w:p>
          <w:p w:rsidR="004D50F1" w:rsidRDefault="002D34B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Ключевой показатель к 2025 году, утвержденный Распоряжением Правительства РФ от 02.09.2021 N 2424-р: 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 – 10.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частной формы собственности о наличии свободных площадей с целью предоставления для ведения предпринимательской деятельности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хозяйствующих субъектов частной формы собственности в общем объеме хозяйствующих субъектов в сфере медицинских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частных медицинских организаций (ед.):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8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8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Черепановского района Новосибирской области по социальным вопросам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Черепановском  районе розничная торговля лекарственными препаратами, медицинскими изделиями и сопутствующими товарами осуществляется юридическими лицами и индивидуальными предпринимателями.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осуществляют свою деятельность 50 аптек и аптечных киосков.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одно государственное предприятие –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ГБУЗ НСО «Черепановская ЦРБ»,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которое имеет  точки продаж в четырнадцати муниципальных образованиях.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препятствиями для развития конкурентной среды на рынке розничной торговли лекарственными препаратами, медицинскими изделиями и сопутствующими товарами является невысокая численность населения в населенных пунктах района и их низкая платежеспособность, особенно в  отдаленных, труднодоступных населенных пунктах, являющихся непривлекательными для участников рынка.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 – 70.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действующих точек продаж частных аптечных организаций, в том числе в отдаленных и труднодоступных населенных пунктах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действующих точек продаж частных аптечных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65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68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70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 администрации МО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психолого-педагогического сопровождения детей с ограниченными возможностями здоровья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Черепановском районе по состоянию на 2022 год числится  756 детей  с ограниченными возможностями здоровья (далее – дети с ОВЗ), в том числе 187 в Черепановской специальной  (коррекционной) школе-интернате, 674 интегрировано в общеобразовательных школах.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осуществляют учителя-логопеды  в 21 общеобразовательных учреждениях, педагоги-психологи  в 21 общеобразовательном учреждении, дефектологи в 4  общеобразовательных учреждениях, социальные педагоги в 21 общеобразовательном учреждении.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Проблемой в районе является острая нехватка педагогов-психологов и других узких специалистов, что не позволяет развиваться данному виду рынка.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 – 3.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информационных и консультационных услуг для субъектов частной формы собственности, желающих работать в сфере психолого-педагогического сопровождения детей с 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немуниципальных организаций, оказывающих услуги психолого-педагогической,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и консультативной помощи детям с ограниченными возможностями здоровья и их семьям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частных организаций, осуществляющих деятельность на рынке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Рынок социальных услуг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реестре поставщиков социальных услуг в Черепановском  районе зарегистрировано 2 государственных учреждения: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 «Комплексный центр социального обслуживания»;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государственное казенное учреждение НСО «Центр занятости  населения Черепановского района».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частной формы собственности на данном рынке услуг в районе нет. Административных, экономических препятствий или ограничений по участию на рынке услуг социального обслуживания населения нет.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негосударственных организаций социального обслуживания, предоставляющих социальные услуги, процентов – 10.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в сфере социальных услуг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организаций социального обслуживания, предоставляющих социальные услуги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частных организаций, осуществляющих деятельность на рынке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Черепановского района Новосибирской области по социальным вопросам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ритуальных услуг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Похоронные и ритуальные услуги в Черепановском районе оказывают три хозяйствующих субъекта с  частной формой собственности.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Административных, экономических препятствий или ограничений по участию на рынке ритуальных услуг нет.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ритуальных услуг, процентов – 20.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ритуальных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частных организаций, осуществляющих деятельность на рынке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теплоснабжения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Черепановском  районе деятельность по выработке тепловой энергии осуществляют 5 предприятий: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«КС Восток-Запад», МУП «ЖКХ Черепановское», ООО «ЖКХ Посевная»,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Жилфондэнергосервис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Теплоснабжение  объектов и жилищного фонда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осуществляется на территории Черепановского района от 20 котельных, в том числе 14 газовых и 6 угольных. Общая производственная мощность составляет 70 Гкал/час. Протяженность тепловых сетей 89 км, отапливаемая площадь 874 тыс. кв. метров.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теплоснабжения (производство тепловой энергии), процентов – 20.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мероприятий инвестиционных программ концессионеров, осуществляющих деятельность в сфере теплоснабжения, в соответствии с установленными концессионным соглашением заданием и мероприятиями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частных инвестиций в развитие объектов коммунальной инфраструктуры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80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80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80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услуг по сбору и транспортированию твердых коммунальных отходов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сбору и вывозу твердых коммунальных отходов на территории Черепановского района осуществляет МУП «САХ». Конкуренция на рынке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услуг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отсутствует.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услуг по сбору и транспортированию твердых коммунальных отходов, процентов– 30.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организаций, оказывающих услуги по сбору и транспортированию твердых коммунальных отходов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прозрачности деятельности и качества оказываемых услуг по сбору и транспортированию твердых коммунальных отходов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 организаций, оказывающих услуги по сбору и транспортированию твердых коммунальных отходов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25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30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1.12.2.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объёма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коммунальными отходами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организаций частной формы собственности в сфере по оказанию услуг по сбору и транспортированию твердых коммунальных отходов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Объём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региональным оператором по обращению с твердыми коммунальными отходами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2023 - 20</w:t>
            </w:r>
          </w:p>
          <w:p w:rsidR="004D50F1" w:rsidRDefault="002D34BF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2024 - 25</w:t>
            </w:r>
          </w:p>
          <w:p w:rsidR="004D50F1" w:rsidRDefault="002D34BF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2025 - 30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Рынок выполнения работ по благоустройству городской среды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рамках федерального проекта «Формирование комфортной городской среды» на территории Черепановского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было благоустроено  2 дворовых территории и  2  общественные территории.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благоустройства городской среды составляет 100 %.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 на данном рынке достаточная. Все контракты заключаются на конкурсной основе с соблюдением федерального закона от 05.04.2013 г.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44-ФЗ, что поддерживает конкуренцию на данном рынке.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выполнения работ по благоустройству городской среды, процентов– 20.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статистической базы организаций, находящихся на рынке благоустройства городской среды в Новосибирской области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да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да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да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1.13.2.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появления организаций частной форм собственности в Черепановском  районе, оказывающих услуги по благоустройству общественных и дворовых территорий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выполнения работ по благоустройству общественных и дворовых территорий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общественных и дворовых территорий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1.14.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Черепановском  муниципальном районе 2 управляющих компании выполняют работы по содержанию и текущему ремонту общего имущества собственников помещений в многоквартирном доме. ООО УК «Жилфонд», ООО «ЖКХ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предприятия  с частной формой собственности. Административных, экономических препятствий или ограничений по участию на данном рынке нет.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процентов– 20.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1.14.2.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жителей в оценке деятельности организаций, оказывающих услуги по управлению многоквартирными домами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реагирование на поступающие обращения граждан в части работы управляющих компаний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обработанных обращений среди поступающих обращений граждан в части работы управляющих компаний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Черепановском районе в сфере розничной купли-продажи электрической энергии (мощности) осуществляют деятельность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 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является единственным гарантирующим поставщиком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энергии на всей территории Новосибирской области. Таким образом, розничный рынок электрической энергии района характеризуется неразвитой конкуренцией.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 – 30.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текущего состояния  развития конкурентной среды на рынке купли-продажи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энергии (мощности) на розничном рынке электрической энергии (мощности)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организаций частной формы собственности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купли-продажи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энергии (мощности) на розничном рынке электрической энергии (мощности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Перевозкой пассажиров в районе успешно занимается ООО «Черепановское автотранспортное предприятие». Пассажирское автотранспортное предприятие осуществляет перевозку на 39 муниципальных пассажирских маршрутах.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перевозке пассажиров оказывает 1 индивидуальный предприниматель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Шамтюков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Административных, экономических препятствий или ограничений по участию на данном рынке нет.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процентов– 20.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перевозки пассажиров автомобильным транспортом по муниципальным маршрутам регулярных перевозок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60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организации частной формы собственности занимаются оказанием услуг по перевозке пассажиров и багажа легковым такси в Черепановском районе. Все индивидуальные предприниматели. Административных, экономических препятствий или ограничений по участию на данном рынке нет.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процентов– 70.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вновь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созданных организаций частной формы собственности, оказывающих услуги по перевозке пассажиров и багажа легковым такси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 легковым такси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собственности в сфере перевозок пассажиров и багажа легковым такси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и торговли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Рынок оказания услуг по ремонту автотранспортных средств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Черепановском районе  по виду деятельности «45.20 – техническое обслуживание и ремонт автотранспортных средств» действует 12 организаций  -  индивидуальных предпринимателей.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Административных, экономических препятствий или ограничений по участию на данном рынке нет.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оказания услуг по ремонту автотранспортных средств, процентов– 40.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в сфере услуг по ремонту автотранспортных средств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территории Черепановского района  услуги связи оказывают 8 организаций совместной частной и иностранной собственности: ПАО «Ростелеком», МТС  ПАО «Мобильные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Билайн ПАО «ВымпелКом», 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«Т2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ПАО «МегаФон», ООО «Сеть связной»,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«Сибирский медведь».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перечень услуг операторов связи на территории района входят: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проводная местная,  междугородная и международная связь;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телеграфная и сотовая связь;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Интернета, передача данных и пр.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основных операторов сотовой связи, присутствующих на территории района наблюдается высокая конкуренция.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достаточно развитую телекоммуникационную инфраструктуру, в районе остается актуальной проблема  плохого качества сотовой связи и предоставления доступа к «Интернету» в отдаленных сельских населенных пунктах, которые обуславливаются рельефом местности, удалённостью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базовых станций.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2022 года– 20;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 – 98.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доступности услуг связи, широкополосного доступа к информационно-телекоммуникационной сети "Интернет" в населенных пунктах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2023 году в рамках Федерального закона № 159-ФЗ завершено строительство 9-ти квартирного жилого дома для детей-сирот и детей, оставшихся без попечения родителей.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подпрограмме 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 введен в эксплуатацию 13-ти квартирный жилой дом (10 квартир-служебное жильё, 3 квартиры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ети-сироты).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В 2023 году заключены муниципальные контракты: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на строительство 12-ти квартирного дома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Посевная (служебное жилье);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строительство 9-ти квартирного жилого дома для детей-сирот и детей, оставшихся без попечения родителей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ернышевского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 жилья осуществляется индивидуальными застройщиками.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Административных, экономических препятствий или ограничений по участию на рынке жилищного строительства  нет.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процентов– 91.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организаций частных форм собственности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конкурсных процедурах в сфере жилищного строительства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организаций частной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собственности в сфере жилищного строительства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жилищного строительства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строительства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Единому реестру субъектов МСП Федеральной налоговой службы по виду деятельности «Строительство жилых и нежилых зданий» в Черепановском районе зарегистрировано 30 организаций.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государственной программы НСО «Культура Новосибирской области»: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2023 году начато строительство объекта «Здание ДШИ в г.Черепаново, срок выполнения работ декабрь 2024г.;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2024 году реализуется объект капитального строительства "Здание ДК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Черепановского района", проектирование в 2024-2025гг., строительство и ввод в эксплуатацию объекта 2025-2026гг. Административных, экономических препятствий или ограничений по участию на рынке строительства объектов капитального строительства нет.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процентов– 91.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в сфере жилищного строительства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присутствия на рынке организаций частной формы собственности в общем количестве хозяйствующих субъектов рынка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1.21.2.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на рынке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Рынок дорожной деятельности (за исключением проектирования)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в рамках выполнения мероприятий по дорожной деятельности на территории Черепановского выполнены работы по ремонту следующих автомобильных дорог: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ул. Красный Проспект г. Черепаново, протяженностью 1,7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ул. Фурманова г. Черепаново -  0,4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Майский - 0,5 км.;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ул. Набережная и ул. Советская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- 1,5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Нововоскресенка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- 0,7 км.;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ул. 50 лет Октября в с.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Мильтюши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- 0,6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ул. Шоссейная, ул. Некрасова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общая протяженность 1,1 км;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ул. Мира и ул. Школьная в с. Листвянка - 0,8 км.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завершено выполнение работ по ремонту следующих автомобильных дорог: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Безменово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протяженностью 0,743км.;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Безменово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- 0,546км.;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ул. Шоссейная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-0,772км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альнейшая реализация мероприятий по содействию развития конкуренции на рынке направлена на сохранение сложившегося уровня конкурентных отношений.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дорожной деятельности (за исключением проектирования), процентов – 80.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по заключению контрактов на строительство, ремонт автомобильных дорог муниципального значения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дорожной деятельности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дорожной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1.22.2.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на рынке дорожной деятельности (за исключением проектирования)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 присутствия на рынке организаций частной собственности в общем количестве хозяйствующих субъектов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архитектурно-строительного проектирования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Черепановского района архитектурно-строительным проектированием занимается 1 организация – ООО «Проект Плюс»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 на данном рынке отсутствует.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Административных, экономических препятствий или ограничений по участию на рынке строительства объектов капитального строительства нет.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архитектурно-строительного проектирования, процентов – 80.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в сфере архитектурно-строительного проектирования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присутствия на рынке организаций частной формы собственности в общем количестве хозяйствующих субъектов рынка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архитектурно-строительного проектирования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кадастровых и землеустроительных работ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Черепановском  районе на рынке кадастровых и землеустроительных работ осуществляют деятельность ООО «Вектор-Н», ГБУ «Новосибирский центр кадастровой оценки и инвентаризации», ООО «Современный дом».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кадастровых и землеустроительных работ, процентов– 80.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частной формы собственности к участию в конкурсных процедурах в сфере кадастровых и землеустроительных работ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хозяйствующих субъектов частной формы собственности в общем объеме хозяйствующих субъектов в сфере кадастровых и землеустроительных работ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60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65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80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реализации сельскохозяйственной продукции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Черепановском районе рынок реализации сельскохозяйственной продукции представляют 16 организации, 30 крестьянско-фермерских хозяйств и индивидуальных предпринимателей.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объем реализации сельскохозяйственной продукции составил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7,0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Административных, экономических препятствий или ограничений по участию на рынке реализации сельскохозяйственной продукции  нет.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сельскохозяйственных потребительских кооперативов в общем объеме реализации сельскохозяйственной продукции, процентов– 5.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для хозяйствующих субъектов частной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собственности и частных лиц в создания сельскохозяйственных потребительских кооперативов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реализованной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потребительских кооперативов в общем объеме реализации сельскохозяйственной продукции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сельскохозяйственных потребительских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кооперативов в общем объеме реализации сельскохозяйственной продукции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5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5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5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сельского хозяйства и природных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Рынок племенного животноводства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Черепановского района отсутствуют, занимающиеся разведением племенных сельскохозяйственных животных.  ЗАО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«Медведский».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Административных, экономических препятствий или ограничений по участию на рынке реализации сельскохозяйственной племенного животноводства  нет.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на рынке племенного животноводства, процентов– 20.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частной формы собственности к участию в разведении племенных сельскохозяйственных животных.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племенного животноводства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:rsidR="004D50F1" w:rsidRDefault="004D50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племенного животноводства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природных ресурсов администрации Черепановского района Новосибирской области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1.26.2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хозяйствующих субъектов частной формы собственности, оказывающих услуги на рынке племенного животноводства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семеноводства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Черепановском  районе   2 организации частной формы собственности     КХ «Семена»,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которые реализует свою деятельность на рынке семеноводства – выращивание семенного зерна и картофеля. В 2023 году планируется старт проекта селекционного семеноводческого и генетического центра на базе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-АПК Холдинг». Административных, экономических препятствий или ограничений по участию на рынке семеноводства нет.</w:t>
            </w:r>
          </w:p>
          <w:p w:rsidR="004D50F1" w:rsidRDefault="004D50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на рынке семеноводства, процентов– 20.</w:t>
            </w:r>
          </w:p>
        </w:tc>
      </w:tr>
      <w:tr w:rsidR="004D50F1">
        <w:trPr>
          <w:trHeight w:val="81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частной формы собственности к участию на рынке семеноводства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организаций частной формы собственности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рынке семеноводства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семеноводства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сельского хозяйства и природных ресурсов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Черепановского района Новосибирской области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1.27.2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хозяйствующих субъектов частной формы собственности, оказывающих услуги на рынке семеноводства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Рынок вылова водных биоресурсов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Черепановском районе  рынок вылова водных биоресурсов представляет ООО «Лесное озеро».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на рынке вылова водных биоресурсов, процентов– 80.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частной формы собственности к участию на рынке вылова водных биоресурсов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вылова водных биоресурсов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вылова водных биоресурсов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природных ресурсов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добычи общераспространенных полезных ископаемых на участках недр местного значения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Черепановском  районе на 2022 год учтены 2  месторождения общераспространенных полезных ископаемых.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Минерально-сырьевая база представлена диабазовыми и базальтовыми порфиритами, а так же глинами для кирпичного производства.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пользования участками недр местного значения, содержащими общераспространенные полезные ископаемые, было предоставлено              юридическим лицам ОАО «Черепановский завод строительных материалов» и АО «Новосибирское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карьероуправление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». Оба юридических лица относятся к организациям частной формы собственности.</w:t>
            </w:r>
            <w:bookmarkStart w:id="0" w:name="_GoBack"/>
            <w:bookmarkEnd w:id="0"/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территории района зарегистрировано 2 лицензии на право пользования недрами в целях добычи общераспространенных полезных ископаемых.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Дальнейшая реализация мероприятий по содействию развитию конкуренции на рынке направлена на сохранение сложившегося уровня конкурентных отношений.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добычи общераспространенных полезных ископаемых на участках недр местного значения, процентов– 80.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информационных и консультационных услуг хозяйствующим субъектам частной формы собственности, предоставляющим услуги на рынке добычи общераспространенных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 на участках недр местного значения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организаций частной формы собственности в сфере добычи общераспространенных полезных ископаемых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участках недр местного значения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добычи общераспространенных полезных ископаемых на участках недр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сельского хозяйства и природных ресурсов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Рынок обработки древесины и производства изделий из дерева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Черепановском районе деятельность по обработке древесины и производству изделий из дерева осуществляют 4 индивидуальных предпринимателя (ИП Тыщенко,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ИП Олейников) и 3 юридических лица (ООО ЛКТ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«Медведский»).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 частной формы собственности 100 %.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обработки древесины и производства изделий из дерева, процентов– 70.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хозяйствующим субъектам частной формы собственности, предоставляющим услуги на рынке обработки древесины и производства изделий из дерева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хозяйствующих субъектов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 частной формы собственности в общем количестве хозяйствующих субъектов в сфере обработки древесины и производства изделий из дерева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Сфера наружной рекламы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эксплуатация рекламных конструкций на территории Черепановского района в соответствии с Федеральным законом от 14.07.2022 N 286-ФЗ "О внесении изменений в Федеральный закон "О рекламе" и Федеральный закон "О внесении изменений в отдельные законодательные акты Российской Федерации" осуществляется на основании схем, утвержденных администрацией Черепановского района Новосибирской области.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Черепановском районе за 2022 год выдано 3  разрешения на установку рекламных конструкций частным организациям.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Дальнейшая реализация мероприятий по содействию развития конкуренции на рынке направлена на сохранение сложившегося уровня конкурентных отношений.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наружной рекламы, процентов– 100.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обращений и предложений, поступивших от специализированных профильных организаций и объединений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содействия развитию конкуренции в сфере наружной рекламы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числа хозяйствующих субъектов частной формы собственности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наружной рекламы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хозяйствующих субъектов частной формы собственности  в общем количестве хозяйствующих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в сфере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наружной рекламы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строительства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1.31.2.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Упорядочивание и рост качества рекламных конструкций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1.32. Рынок производства кирпича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Черепановском районе производством кирпича занимаются  ООО «Черепановский кирпич», ООО  «Фаворит Плюс».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 частной формы собственности 100 %. Административных, экономических препятствий или ограничений по участию на рынке производства кирпича нет.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в сфере производства кирпича, процентов– 70.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1.32.1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хозяйствующим субъектам частной формы собственности, предоставляющим услуги на рынке производства кирпича.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хозяйствующих субъектов частной формы собственности в сфере производства кирпича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 частной формы собственности в общем количестве хозяйствующих субъектов в сфере производства кирпича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1.33. Рынок нефтепродуктов</w:t>
            </w:r>
          </w:p>
        </w:tc>
      </w:tr>
      <w:tr w:rsidR="004D50F1">
        <w:tc>
          <w:tcPr>
            <w:tcW w:w="15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D50F1" w:rsidRDefault="002D3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Черепановском районе розничную продажу нефтепродуктов осуществляет 4 частных компаний: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-Центр, ООО «РН – Новосибирск нефтепродукт», ООО Топливная компания» ГСМ – Сервис», ИП Логинов А.Ю.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Административных, экономических препятствий или ограничений по участию на рынке производства кирпича нет.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 году, утвержденный Распоряжением Правительства РФ от 02.09.2021 N 2424-р: доля организаций частной формы собственности на рынке нефтепродуктов, процентов– 70.</w:t>
            </w:r>
          </w:p>
        </w:tc>
      </w:tr>
      <w:tr w:rsidR="004D50F1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1.33.1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хозяйствующим субъектам частной формы собственности, осуществляющим розничную продажу нефтепродуктов.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хозяйствующих субъектов частной формы собственности на рынке нефтепродуктов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 частной формы собственности в общем количестве хозяйствующих субъектов в сфере производства кирпича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</w:tbl>
    <w:p w:rsidR="004D50F1" w:rsidRDefault="002D34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Системные мероприятия по содействию развитию конкуренции в Черепановском районе Новосибирской области</w:t>
      </w:r>
    </w:p>
    <w:tbl>
      <w:tblPr>
        <w:tblW w:w="1601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709"/>
        <w:gridCol w:w="6406"/>
        <w:gridCol w:w="13"/>
        <w:gridCol w:w="3361"/>
        <w:gridCol w:w="1701"/>
        <w:gridCol w:w="3829"/>
      </w:tblGrid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D50F1"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предпринимательских инициатив,  оказание информационно – консультационной поддержки по вопросам  поддержки  предпринимательства: ведения предпринимательской деятельности, изменений в законодательстве, мерах и видах муниципальной (государственной)  поддержки.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субъектов предпринимательской деятельности информационной, консультационной поддержкой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совещаний, круглых столов, конференций (форумов), единых информационных дней, пресс-конференций по вопросам развития предпринимательства (ведение диалога органов власти и бизнеса).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по решению проблем и мероприятий в целях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4D50F1"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участия субъектов малого 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муниципального заказа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 администрации Черепановского района Новосибирской области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 путем увеличения количества конкурентных процедур муниципальных закупок, проведенных централизованно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 путем привлечения к участию в процедуры закупок новых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 администрации Черепановского района Новосибирской области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F1"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Мероприятия, направленные на устранение избыточного муниципального регулирования, а также снижение административных барьеров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реализации муниципальных функций и услуг, относящихся к полномочиям органа местного самоуправления  на предмет соответствия такой практики статьям 15 и 16 Федерального закона от 26 июля 2006 года № 135-ФЗ «О защите конкуренции»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администрации, предоставляющие  муниципальные услуги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предоставления муниципальных услуг, относящихся к полномочиям органов местного самоуправления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администрации, предоставляющие  муниципальные услуги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нормативных правовых актов Черепановского района, затрагивающих вопросы осуществления предпринимательской и инвестиционной деятельности, на постоянной основе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участников публичных консультаций при проведении углубленной оценки регулирующего воздействия проектов муниципальных актов и экспертизы муниципальных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4D50F1"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Мероприятия, направленные на содействие развитию негосударственных (немуниципальных) социально ориентированных некоммерческих организаций (далее - СО НКО) и «социального предпринимательства»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ежегодных конкурсах социальных проектов для НКО с целью решения проблем социально незащищенных категорий граждан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эффективной деятельности социально ориентированных некоммерческих организаций на территории Черепановского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Черепановского района Новосибирской области</w:t>
            </w:r>
          </w:p>
        </w:tc>
      </w:tr>
      <w:tr w:rsidR="004D50F1"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совершенствование процессов управления объектами муниципальной собственности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опубликования и актуализации на официальном сайте администрации Черепановского района Новосибирской области в информационно-коммуникационной сети «Интернет» сведений об объектах имущества, включенных в реестры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в целях обеспечения равного доступа к такой информации на территории Российской Федерации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равных условий доступа к информации о реализации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Черепановского района Новосибирской области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торгов при реализации земельных участков, находящихся в собственности Черепановского района, и при предоставлении во владение и (или) пользование, имущества и земельных участков, находящихся в собственности Черепановского района, на официальном сайте Российской Федерации в сети «Интернет» для размещения информации о проведении торгов (</w:t>
            </w:r>
            <w:hyperlink r:id="rId1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torgi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и официальном сайте администрации Черепановского района</w:t>
            </w:r>
            <w:proofErr w:type="gram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доступа к информации о реализации земельных участков муниципального образования Черепановский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 администрации Черепановского района Новосибирской области</w:t>
            </w:r>
          </w:p>
          <w:p w:rsidR="004D50F1" w:rsidRDefault="004D50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F1"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F1" w:rsidRDefault="002D34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мониторинга состояния и развития конкурентной среды на рынках товаров и услуг в Черепановском районе Новосибирской области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</w:t>
            </w:r>
          </w:p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состояния конкурентной среды и административных барьеров субъектами предпринимательской деятельности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совершенствованию развития конкуренции для корректировки «дорожной карты».</w:t>
            </w:r>
          </w:p>
          <w:p w:rsidR="004D50F1" w:rsidRDefault="004D50F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F1" w:rsidRDefault="004D50F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F1" w:rsidRDefault="004D50F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удовлетворенности потребителей качеством товаров и услуг на товарных рынках Черепановского района  и состоянием ценовой конкуренции</w:t>
            </w: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удовлетворенности субъектов предпринимательской деятельности и потребителей товаров, работ и услуг официальной информацией о состоянии конкуренции на товарных рынках Новосибирской области и деятельности по содействию развитию конкуренции, размещаемой администраций Черепановского района</w:t>
            </w: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4D5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мониторингов деятельности хозяйствующих субъектов, доля участия муниципального образования в которых составляет 50 и более процентов</w:t>
            </w: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4D50F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F1" w:rsidRDefault="002D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</w:tbl>
    <w:p w:rsidR="004D50F1" w:rsidRDefault="004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0F1" w:rsidRDefault="004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D50F1" w:rsidSect="007F0091">
      <w:pgSz w:w="16838" w:h="11906" w:orient="landscape"/>
      <w:pgMar w:top="1276" w:right="1134" w:bottom="851" w:left="1134" w:header="0" w:footer="0" w:gutter="0"/>
      <w:cols w:space="720"/>
      <w:formProt w:val="0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938"/>
    <w:multiLevelType w:val="multilevel"/>
    <w:tmpl w:val="9B5243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B7E0A1C"/>
    <w:multiLevelType w:val="multilevel"/>
    <w:tmpl w:val="262011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1.%2.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>
    <w:nsid w:val="40AE0915"/>
    <w:multiLevelType w:val="multilevel"/>
    <w:tmpl w:val="57DCEC2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5127ED6"/>
    <w:multiLevelType w:val="multilevel"/>
    <w:tmpl w:val="68585A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DF6623D"/>
    <w:multiLevelType w:val="multilevel"/>
    <w:tmpl w:val="30EE7D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F1"/>
    <w:rsid w:val="002D34BF"/>
    <w:rsid w:val="003B56D8"/>
    <w:rsid w:val="004D50F1"/>
    <w:rsid w:val="007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uiPriority w:val="9"/>
    <w:qFormat/>
    <w:locked/>
    <w:rsid w:val="003720B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831DC5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6141A8"/>
    <w:rPr>
      <w:color w:val="000080"/>
      <w:u w:val="single"/>
    </w:rPr>
  </w:style>
  <w:style w:type="character" w:styleId="a5">
    <w:name w:val="line number"/>
    <w:basedOn w:val="a0"/>
    <w:uiPriority w:val="99"/>
    <w:semiHidden/>
    <w:qFormat/>
    <w:rsid w:val="00952D68"/>
  </w:style>
  <w:style w:type="character" w:customStyle="1" w:styleId="a6">
    <w:name w:val="Верхний колонтитул Знак"/>
    <w:basedOn w:val="a0"/>
    <w:uiPriority w:val="99"/>
    <w:qFormat/>
    <w:locked/>
    <w:rsid w:val="00952D68"/>
  </w:style>
  <w:style w:type="character" w:customStyle="1" w:styleId="a7">
    <w:name w:val="Нижний колонтитул Знак"/>
    <w:basedOn w:val="a0"/>
    <w:uiPriority w:val="99"/>
    <w:qFormat/>
    <w:locked/>
    <w:rsid w:val="00952D68"/>
  </w:style>
  <w:style w:type="character" w:customStyle="1" w:styleId="10">
    <w:name w:val="Заголовок 1 Знак"/>
    <w:basedOn w:val="a0"/>
    <w:link w:val="10"/>
    <w:uiPriority w:val="9"/>
    <w:qFormat/>
    <w:rsid w:val="003720B2"/>
    <w:rPr>
      <w:rFonts w:ascii="Times New Roman" w:eastAsia="Times New Roman" w:hAnsi="Times New Roman"/>
      <w:b/>
      <w:bCs/>
      <w:kern w:val="2"/>
      <w:sz w:val="48"/>
      <w:szCs w:val="4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p14">
    <w:name w:val="p14"/>
    <w:basedOn w:val="a"/>
    <w:uiPriority w:val="99"/>
    <w:qFormat/>
    <w:rsid w:val="005729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6C05EF"/>
    <w:pPr>
      <w:ind w:left="720"/>
    </w:pPr>
  </w:style>
  <w:style w:type="paragraph" w:styleId="ac">
    <w:name w:val="Balloon Text"/>
    <w:basedOn w:val="a"/>
    <w:uiPriority w:val="99"/>
    <w:semiHidden/>
    <w:qFormat/>
    <w:rsid w:val="00831D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uiPriority w:val="99"/>
    <w:qFormat/>
    <w:rsid w:val="006141A8"/>
    <w:pPr>
      <w:widowControl w:val="0"/>
      <w:suppressLineNumber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46047B"/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rsid w:val="00952D6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rsid w:val="00952D68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1">
    <w:name w:val="Нет списка1"/>
    <w:uiPriority w:val="99"/>
    <w:semiHidden/>
    <w:unhideWhenUsed/>
    <w:qFormat/>
    <w:rsid w:val="00F227A4"/>
  </w:style>
  <w:style w:type="numbering" w:customStyle="1" w:styleId="110">
    <w:name w:val="Нет списка11"/>
    <w:uiPriority w:val="99"/>
    <w:semiHidden/>
    <w:unhideWhenUsed/>
    <w:qFormat/>
    <w:rsid w:val="00F227A4"/>
  </w:style>
  <w:style w:type="table" w:styleId="af0">
    <w:name w:val="Table Grid"/>
    <w:basedOn w:val="a1"/>
    <w:uiPriority w:val="99"/>
    <w:rsid w:val="00572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uiPriority w:val="9"/>
    <w:qFormat/>
    <w:locked/>
    <w:rsid w:val="003720B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831DC5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6141A8"/>
    <w:rPr>
      <w:color w:val="000080"/>
      <w:u w:val="single"/>
    </w:rPr>
  </w:style>
  <w:style w:type="character" w:styleId="a5">
    <w:name w:val="line number"/>
    <w:basedOn w:val="a0"/>
    <w:uiPriority w:val="99"/>
    <w:semiHidden/>
    <w:qFormat/>
    <w:rsid w:val="00952D68"/>
  </w:style>
  <w:style w:type="character" w:customStyle="1" w:styleId="a6">
    <w:name w:val="Верхний колонтитул Знак"/>
    <w:basedOn w:val="a0"/>
    <w:uiPriority w:val="99"/>
    <w:qFormat/>
    <w:locked/>
    <w:rsid w:val="00952D68"/>
  </w:style>
  <w:style w:type="character" w:customStyle="1" w:styleId="a7">
    <w:name w:val="Нижний колонтитул Знак"/>
    <w:basedOn w:val="a0"/>
    <w:uiPriority w:val="99"/>
    <w:qFormat/>
    <w:locked/>
    <w:rsid w:val="00952D68"/>
  </w:style>
  <w:style w:type="character" w:customStyle="1" w:styleId="10">
    <w:name w:val="Заголовок 1 Знак"/>
    <w:basedOn w:val="a0"/>
    <w:link w:val="10"/>
    <w:uiPriority w:val="9"/>
    <w:qFormat/>
    <w:rsid w:val="003720B2"/>
    <w:rPr>
      <w:rFonts w:ascii="Times New Roman" w:eastAsia="Times New Roman" w:hAnsi="Times New Roman"/>
      <w:b/>
      <w:bCs/>
      <w:kern w:val="2"/>
      <w:sz w:val="48"/>
      <w:szCs w:val="4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p14">
    <w:name w:val="p14"/>
    <w:basedOn w:val="a"/>
    <w:uiPriority w:val="99"/>
    <w:qFormat/>
    <w:rsid w:val="005729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6C05EF"/>
    <w:pPr>
      <w:ind w:left="720"/>
    </w:pPr>
  </w:style>
  <w:style w:type="paragraph" w:styleId="ac">
    <w:name w:val="Balloon Text"/>
    <w:basedOn w:val="a"/>
    <w:uiPriority w:val="99"/>
    <w:semiHidden/>
    <w:qFormat/>
    <w:rsid w:val="00831D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uiPriority w:val="99"/>
    <w:qFormat/>
    <w:rsid w:val="006141A8"/>
    <w:pPr>
      <w:widowControl w:val="0"/>
      <w:suppressLineNumber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46047B"/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rsid w:val="00952D6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rsid w:val="00952D68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1">
    <w:name w:val="Нет списка1"/>
    <w:uiPriority w:val="99"/>
    <w:semiHidden/>
    <w:unhideWhenUsed/>
    <w:qFormat/>
    <w:rsid w:val="00F227A4"/>
  </w:style>
  <w:style w:type="numbering" w:customStyle="1" w:styleId="110">
    <w:name w:val="Нет списка11"/>
    <w:uiPriority w:val="99"/>
    <w:semiHidden/>
    <w:unhideWhenUsed/>
    <w:qFormat/>
    <w:rsid w:val="00F227A4"/>
  </w:style>
  <w:style w:type="table" w:styleId="af0">
    <w:name w:val="Table Grid"/>
    <w:basedOn w:val="a1"/>
    <w:uiPriority w:val="99"/>
    <w:rsid w:val="00572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8BC0-9C07-431D-9507-961707C0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9062</Words>
  <Characters>51655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Щукина Татьяна Сергеевна1</cp:lastModifiedBy>
  <cp:revision>3</cp:revision>
  <cp:lastPrinted>2022-10-06T10:41:00Z</cp:lastPrinted>
  <dcterms:created xsi:type="dcterms:W3CDTF">2024-10-22T02:35:00Z</dcterms:created>
  <dcterms:modified xsi:type="dcterms:W3CDTF">2025-01-30T05:40:00Z</dcterms:modified>
  <dc:language>ru-RU</dc:language>
</cp:coreProperties>
</file>