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2A" w:rsidRDefault="003D0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5253644</wp:posOffset>
            </wp:positionH>
            <wp:positionV relativeFrom="page">
              <wp:posOffset>548640</wp:posOffset>
            </wp:positionV>
            <wp:extent cx="2892829" cy="249382"/>
            <wp:effectExtent l="19050" t="0" r="2771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29" cy="249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664210" cy="743585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2A" w:rsidRDefault="00395D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D2A" w:rsidRDefault="003D0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ЧЕРЕПАНОВСКОГО РАЙОНА</w:t>
      </w:r>
    </w:p>
    <w:p w:rsidR="00395D2A" w:rsidRDefault="003D0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95D2A" w:rsidRDefault="00395D2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5D2A" w:rsidRDefault="003D059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395D2A" w:rsidRDefault="00395D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D2A" w:rsidRDefault="003D05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09.04.2025 № 360-Р</w:t>
      </w:r>
    </w:p>
    <w:p w:rsidR="00395D2A" w:rsidRDefault="00395D2A">
      <w:pPr>
        <w:rPr>
          <w:rFonts w:ascii="Times New Roman" w:hAnsi="Times New Roman" w:cs="Times New Roman"/>
          <w:sz w:val="26"/>
          <w:szCs w:val="26"/>
        </w:rPr>
      </w:pPr>
    </w:p>
    <w:p w:rsidR="00395D2A" w:rsidRDefault="003D059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Черепановского района Новосибирской области от 27.10.2023 № 989-Р </w:t>
      </w:r>
    </w:p>
    <w:p w:rsidR="00395D2A" w:rsidRDefault="00395D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D2A" w:rsidRDefault="003D0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Черепановского района Новосибирской области от 27.10.2023 № 989-Р «Об утверждении Инструкции о порядке организации работы с обращениями граждан в администрации Черепановского района» следующие изменения:</w:t>
      </w:r>
    </w:p>
    <w:p w:rsidR="00395D2A" w:rsidRDefault="003D059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Инструкции о порядке организации работы с обращени</w:t>
      </w:r>
      <w:r>
        <w:rPr>
          <w:rFonts w:ascii="Times New Roman" w:hAnsi="Times New Roman" w:cs="Times New Roman"/>
          <w:sz w:val="26"/>
          <w:szCs w:val="26"/>
        </w:rPr>
        <w:t>ями граждан: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Пункт 1 изложить в следующей редакции: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 Инструкция о порядке организации работы с обращениями граждан (далее – Инструкция)устанавливает требования к организации работы с обращениями граждан Российской Федерации, иностранных граждан и лиц</w:t>
      </w:r>
      <w:r>
        <w:rPr>
          <w:rFonts w:ascii="Times New Roman" w:hAnsi="Times New Roman"/>
          <w:sz w:val="26"/>
          <w:szCs w:val="26"/>
        </w:rPr>
        <w:t xml:space="preserve"> без гражданства (далее – граждане), объединений граждан, в том числе юридических лиц, поступившими в адрес Главы Ч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репановского района Новосибирской области или в администрацию Черепановского района, индивидуальными и коллективными обращениями граждан (пр</w:t>
      </w:r>
      <w:r>
        <w:rPr>
          <w:rFonts w:ascii="Times New Roman" w:hAnsi="Times New Roman"/>
          <w:sz w:val="26"/>
          <w:szCs w:val="26"/>
        </w:rPr>
        <w:t>едложение, зая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ление или жалоба) в письменной форме или в форме электронного документа с испол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зованием федераль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ной государственной информационной системы «Единый портал г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сударственных и муниципальных услуг (функций)» (далее – Единый портал), либо оф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циал</w:t>
      </w:r>
      <w:r>
        <w:rPr>
          <w:rFonts w:ascii="Times New Roman" w:hAnsi="Times New Roman"/>
          <w:sz w:val="26"/>
          <w:szCs w:val="26"/>
        </w:rPr>
        <w:t>ьного сайта государственного органа в информационной телекоммуникационной сети «Интернет», обеспечивающих идентификацию и (или) аутентификацию граждан, (далее – письменные обращения), а также с устными обращениями и проведение личн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го приема граждан Главой</w:t>
      </w:r>
      <w:r>
        <w:rPr>
          <w:rFonts w:ascii="Times New Roman" w:hAnsi="Times New Roman"/>
          <w:sz w:val="26"/>
          <w:szCs w:val="26"/>
        </w:rPr>
        <w:t xml:space="preserve"> Черепановского района Новосибирской области, первыми заместителями Главы администрации Черепановского района Новосибирской области, заместителями Главы администрации Черепановского района Новосибирской области, руководителями структурных подразделений адм</w:t>
      </w:r>
      <w:r>
        <w:rPr>
          <w:rFonts w:ascii="Times New Roman" w:hAnsi="Times New Roman"/>
          <w:sz w:val="26"/>
          <w:szCs w:val="26"/>
        </w:rPr>
        <w:t>инистрации Черепановского района Новосибирской области и уполномоченными на то лицами»;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 подпункте 2 пункта 5 изложить в следующей редакции: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через унифицированную форму официального сайта администрации Череп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новского района, обеспечивающую идентифик</w:t>
      </w:r>
      <w:r>
        <w:rPr>
          <w:rFonts w:ascii="Times New Roman" w:hAnsi="Times New Roman"/>
          <w:sz w:val="26"/>
          <w:szCs w:val="26"/>
        </w:rPr>
        <w:t>ацию и (или) аутентификацию граждан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на;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абзац второй изложить в следующей редакции: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 использованием адреса (уникальный идентификатор) личного кабинета гра</w:t>
      </w: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sz w:val="26"/>
          <w:szCs w:val="26"/>
        </w:rPr>
        <w:t xml:space="preserve">данина на Едином портале, обеспечивающего идентификацию и (или) аутентификацию гражданина: </w:t>
      </w:r>
      <w:hyperlink r:id="rId9">
        <w:r>
          <w:rPr>
            <w:rStyle w:val="a4"/>
            <w:rFonts w:ascii="Times New Roman" w:hAnsi="Times New Roman"/>
            <w:color w:val="auto"/>
            <w:sz w:val="26"/>
            <w:szCs w:val="26"/>
          </w:rPr>
          <w:t>https://esia.gosuslugi.ru.»</w:t>
        </w:r>
      </w:hyperlink>
      <w:r>
        <w:rPr>
          <w:rFonts w:ascii="Times New Roman" w:hAnsi="Times New Roman"/>
          <w:sz w:val="26"/>
          <w:szCs w:val="26"/>
        </w:rPr>
        <w:t>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абзац второй пункта 7 после слов «Едином портале» дополнить словами «, обеспечивающий идентификацию и (или) аутентификацию гражданина»;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пункт 8 дополнить абзацем следующего </w:t>
      </w:r>
      <w:r>
        <w:rPr>
          <w:rFonts w:ascii="Times New Roman" w:eastAsia="Times New Roman" w:hAnsi="Times New Roman"/>
          <w:sz w:val="26"/>
          <w:szCs w:val="26"/>
        </w:rPr>
        <w:t>содержания: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«Информация о персональных данных гражданина, сведения, содержащиеся в письменном обращении, а также сведения, касающиеся частной жизни гражданина, хр</w:t>
      </w:r>
      <w:r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 xml:space="preserve">нятся и обрабатываются с соблюдением требований российского законодательства»; 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в пункте 3</w:t>
      </w:r>
      <w:r>
        <w:rPr>
          <w:rFonts w:ascii="Times New Roman" w:hAnsi="Times New Roman"/>
          <w:sz w:val="26"/>
          <w:szCs w:val="26"/>
        </w:rPr>
        <w:t>0: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абзаце первом слова «,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менной форме.»</w:t>
      </w:r>
      <w:r>
        <w:rPr>
          <w:rFonts w:ascii="Times New Roman" w:hAnsi="Times New Roman"/>
          <w:sz w:val="26"/>
          <w:szCs w:val="26"/>
        </w:rPr>
        <w:t xml:space="preserve"> заменить словами «, либо по адресу (уникальному идентификатору) личного кабинета гражданина на Едином портале, обеспечивающего идентификацию и (или) аутентификацию гражданина, при использовании Единого портала и в письменной форме по почтовому адресу, ука</w:t>
      </w:r>
      <w:r>
        <w:rPr>
          <w:rFonts w:ascii="Times New Roman" w:hAnsi="Times New Roman"/>
          <w:sz w:val="26"/>
          <w:szCs w:val="26"/>
        </w:rPr>
        <w:t>занному в обращении, поступившем в администрацию или должностному лицу в письменной форме»;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абзац третий изложить в следующей редакции: 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«Ответ на обращение, уведомление гражданам о переадресации обращения, о продлении срока рассмотрения обращения напра</w:t>
      </w:r>
      <w:r>
        <w:rPr>
          <w:rFonts w:ascii="Times New Roman" w:hAnsi="Times New Roman"/>
          <w:sz w:val="26"/>
          <w:szCs w:val="26"/>
        </w:rPr>
        <w:t>вляется в форме электронного док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мента, по адресу электронной почты, указанному в обращении либо по адресу (уникал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ному идентификатору) личного кабинета гражданина на Едином портале с адресов эле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тронной почты управления – общественной приемной Губернатора</w:t>
      </w:r>
      <w:r>
        <w:rPr>
          <w:rFonts w:ascii="Times New Roman" w:hAnsi="Times New Roman"/>
          <w:sz w:val="26"/>
          <w:szCs w:val="26"/>
        </w:rPr>
        <w:t xml:space="preserve"> области, исполн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тельных органов»;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абзац пятый пункта 37 изложить в следующей редакции: 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 случае обращения о записи на личный прием к Главе Черепановского района Новосибирской области по телефону гражданину разъясняется порядок записи на ли</w:t>
      </w:r>
      <w:r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ный прием,</w:t>
      </w:r>
      <w:r>
        <w:rPr>
          <w:rFonts w:ascii="Times New Roman" w:hAnsi="Times New Roman"/>
          <w:sz w:val="26"/>
          <w:szCs w:val="26"/>
        </w:rPr>
        <w:t xml:space="preserve"> предлагается изложить суть обращения в письменной форме или направить обращение в форме электронного документа через официальный сайт администрации Черепановского района Новосибирской области в информационно-телекоммуникационной сети «Интернет» или через </w:t>
      </w:r>
      <w:r>
        <w:rPr>
          <w:rFonts w:ascii="Times New Roman" w:hAnsi="Times New Roman"/>
          <w:sz w:val="26"/>
          <w:szCs w:val="26"/>
        </w:rPr>
        <w:t>Единый портал, обеспечивающие идентификацию и (или) аутентификацию гражданина»;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абзац третий пункта 43 изложить в следующей редакции: 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«Поступившие устные и письменные обращения гражданина о записи на личный прием подлежат регистрации в СЭДД.»;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 в пун</w:t>
      </w:r>
      <w:r>
        <w:rPr>
          <w:rFonts w:ascii="Times New Roman" w:eastAsia="Times New Roman" w:hAnsi="Times New Roman"/>
          <w:sz w:val="26"/>
          <w:szCs w:val="26"/>
        </w:rPr>
        <w:t>кте 46 после слов «первоочередной» дополнить словами «, внеочередной»;</w:t>
      </w:r>
    </w:p>
    <w:p w:rsidR="00395D2A" w:rsidRDefault="003D059E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18. абзац первый пункта </w:t>
      </w:r>
      <w:r>
        <w:rPr>
          <w:rFonts w:ascii="Times New Roman" w:eastAsia="Times New Roman" w:hAnsi="Times New Roman"/>
          <w:sz w:val="26"/>
          <w:szCs w:val="26"/>
        </w:rPr>
        <w:t xml:space="preserve">55 изложить в следующей редакции: </w:t>
      </w:r>
    </w:p>
    <w:p w:rsidR="00395D2A" w:rsidRDefault="003D059E">
      <w:pPr>
        <w:pStyle w:val="ac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«Помещения общественной приемной, в которых осуществляется прием граждан и проводится личный прием граждан </w:t>
      </w:r>
      <w:r>
        <w:rPr>
          <w:rFonts w:ascii="Times New Roman" w:eastAsia="Times New Roman" w:hAnsi="Times New Roman"/>
          <w:sz w:val="26"/>
          <w:szCs w:val="26"/>
          <w:highlight w:val="white"/>
        </w:rPr>
        <w:t>не являются местом,</w:t>
      </w:r>
      <w:r>
        <w:rPr>
          <w:rFonts w:ascii="Times New Roman" w:eastAsia="Times New Roman" w:hAnsi="Times New Roman"/>
          <w:sz w:val="26"/>
          <w:szCs w:val="26"/>
          <w:highlight w:val="white"/>
        </w:rPr>
        <w:t xml:space="preserve"> открытым для свободного и бесконтрольного посещения</w:t>
      </w:r>
      <w:r>
        <w:rPr>
          <w:rFonts w:ascii="Times New Roman" w:eastAsia="Times New Roman" w:hAnsi="Times New Roman"/>
          <w:sz w:val="26"/>
          <w:szCs w:val="26"/>
        </w:rPr>
        <w:t>, оборудуются средствами видео- и (или) аудиопротокол</w:t>
      </w:r>
      <w:r>
        <w:rPr>
          <w:rFonts w:ascii="Times New Roman" w:eastAsia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</w:rPr>
        <w:t xml:space="preserve">рования приемов.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помещениях, где осуществляется видео- и (или) аудиопротоколир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вание, размещаются таблички с уведомлением о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ведении видео и аудио за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highlight w:val="white"/>
        </w:rPr>
        <w:t>писи</w:t>
      </w: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зование гражданами </w:t>
      </w:r>
      <w:r>
        <w:rPr>
          <w:rFonts w:ascii="Times New Roman" w:eastAsia="Times New Roman" w:hAnsi="Times New Roman"/>
          <w:sz w:val="26"/>
          <w:szCs w:val="26"/>
        </w:rPr>
        <w:t>средств фото и видеофиксации в ходе проведения приемов не пр</w:t>
      </w:r>
      <w:r>
        <w:rPr>
          <w:rFonts w:ascii="Times New Roman" w:eastAsia="Times New Roman" w:hAnsi="Times New Roman"/>
          <w:sz w:val="26"/>
          <w:szCs w:val="26"/>
        </w:rPr>
        <w:t>е</w:t>
      </w:r>
      <w:r>
        <w:rPr>
          <w:rFonts w:ascii="Times New Roman" w:eastAsia="Times New Roman" w:hAnsi="Times New Roman"/>
          <w:sz w:val="26"/>
          <w:szCs w:val="26"/>
        </w:rPr>
        <w:t>дусмотрено»;</w:t>
      </w:r>
    </w:p>
    <w:p w:rsidR="00395D2A" w:rsidRDefault="00395D2A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395D2A" w:rsidRDefault="00FE76CB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3568065</wp:posOffset>
            </wp:positionH>
            <wp:positionV relativeFrom="page">
              <wp:posOffset>8603615</wp:posOffset>
            </wp:positionV>
            <wp:extent cx="2100580" cy="889000"/>
            <wp:effectExtent l="1905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D2A" w:rsidRDefault="00395D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5D2A" w:rsidRDefault="003D059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Черепановского района                                                                         С.Н.Овсянников</w:t>
      </w:r>
    </w:p>
    <w:p w:rsidR="00395D2A" w:rsidRDefault="00395D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D2A" w:rsidRDefault="00395D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D2A" w:rsidRDefault="00395D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D2A" w:rsidRDefault="00395D2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95D2A" w:rsidRDefault="003D05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Гридчина</w:t>
      </w:r>
    </w:p>
    <w:p w:rsidR="00395D2A" w:rsidRDefault="003D059E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22710</w:t>
      </w:r>
    </w:p>
    <w:sectPr w:rsidR="00395D2A" w:rsidSect="00395D2A">
      <w:footerReference w:type="default" r:id="rId11"/>
      <w:footerReference w:type="first" r:id="rId12"/>
      <w:pgSz w:w="11906" w:h="16838"/>
      <w:pgMar w:top="1134" w:right="567" w:bottom="1134" w:left="1418" w:header="0" w:footer="6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59E" w:rsidRDefault="003D059E" w:rsidP="00395D2A">
      <w:r>
        <w:separator/>
      </w:r>
    </w:p>
  </w:endnote>
  <w:endnote w:type="continuationSeparator" w:id="0">
    <w:p w:rsidR="003D059E" w:rsidRDefault="003D059E" w:rsidP="0039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2A" w:rsidRDefault="00395D2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2A" w:rsidRDefault="00395D2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59E" w:rsidRDefault="003D059E" w:rsidP="00395D2A">
      <w:r>
        <w:separator/>
      </w:r>
    </w:p>
  </w:footnote>
  <w:footnote w:type="continuationSeparator" w:id="0">
    <w:p w:rsidR="003D059E" w:rsidRDefault="003D059E" w:rsidP="00395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2A"/>
    <w:rsid w:val="00395D2A"/>
    <w:rsid w:val="003D059E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qFormat/>
    <w:rsid w:val="00BA7ADB"/>
    <w:rPr>
      <w:rFonts w:ascii="Calibri" w:eastAsia="Calibri" w:hAnsi="Calibri" w:cs="Calibri"/>
      <w:b/>
      <w:bCs/>
    </w:rPr>
  </w:style>
  <w:style w:type="character" w:customStyle="1" w:styleId="a3">
    <w:name w:val="Основной текст_"/>
    <w:basedOn w:val="a0"/>
    <w:qFormat/>
    <w:rsid w:val="00BA7ADB"/>
    <w:rPr>
      <w:rFonts w:ascii="Calibri" w:eastAsia="Calibri" w:hAnsi="Calibri" w:cs="Calibri"/>
    </w:rPr>
  </w:style>
  <w:style w:type="character" w:customStyle="1" w:styleId="2">
    <w:name w:val="Колонтитул (2)_"/>
    <w:basedOn w:val="a0"/>
    <w:link w:val="20"/>
    <w:qFormat/>
    <w:rsid w:val="00BA7ADB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BA7ADB"/>
    <w:rPr>
      <w:color w:val="0000FF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A7ADB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a6">
    <w:name w:val="Верхний колонтитул Знак"/>
    <w:basedOn w:val="a0"/>
    <w:uiPriority w:val="99"/>
    <w:qFormat/>
    <w:rsid w:val="001A0E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7">
    <w:name w:val="Нижний колонтитул Знак"/>
    <w:basedOn w:val="a0"/>
    <w:uiPriority w:val="99"/>
    <w:qFormat/>
    <w:rsid w:val="001A0E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Heading">
    <w:name w:val="Heading"/>
    <w:basedOn w:val="a"/>
    <w:next w:val="a8"/>
    <w:qFormat/>
    <w:rsid w:val="002876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87664"/>
    <w:pPr>
      <w:spacing w:after="140" w:line="276" w:lineRule="auto"/>
    </w:pPr>
  </w:style>
  <w:style w:type="paragraph" w:styleId="a9">
    <w:name w:val="List"/>
    <w:basedOn w:val="a8"/>
    <w:rsid w:val="00287664"/>
    <w:rPr>
      <w:rFonts w:cs="Mangal"/>
    </w:rPr>
  </w:style>
  <w:style w:type="paragraph" w:customStyle="1" w:styleId="Caption">
    <w:name w:val="Caption"/>
    <w:basedOn w:val="a"/>
    <w:qFormat/>
    <w:rsid w:val="00395D2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28766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28766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Заголовок №1"/>
    <w:basedOn w:val="a"/>
    <w:qFormat/>
    <w:rsid w:val="00BA7ADB"/>
    <w:pPr>
      <w:spacing w:after="2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12">
    <w:name w:val="Основной текст1"/>
    <w:basedOn w:val="a"/>
    <w:qFormat/>
    <w:rsid w:val="00BA7ADB"/>
    <w:pPr>
      <w:spacing w:after="220"/>
      <w:ind w:firstLine="40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qFormat/>
    <w:rsid w:val="00BA7ADB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a">
    <w:name w:val="List Paragraph"/>
    <w:basedOn w:val="a"/>
    <w:uiPriority w:val="34"/>
    <w:qFormat/>
    <w:rsid w:val="00BA7ADB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BA7ADB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287664"/>
  </w:style>
  <w:style w:type="paragraph" w:customStyle="1" w:styleId="13">
    <w:name w:val="Верхний колонтитул1"/>
    <w:basedOn w:val="a"/>
    <w:uiPriority w:val="99"/>
    <w:unhideWhenUsed/>
    <w:qFormat/>
    <w:rsid w:val="001A0E3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qFormat/>
    <w:rsid w:val="001A0E3C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B50519"/>
    <w:pPr>
      <w:suppressAutoHyphens w:val="0"/>
    </w:pPr>
    <w:rPr>
      <w:rFonts w:cs="Times New Roman"/>
    </w:rPr>
  </w:style>
  <w:style w:type="paragraph" w:customStyle="1" w:styleId="ConsPlusNormal">
    <w:name w:val="ConsPlusNormal"/>
    <w:qFormat/>
    <w:rsid w:val="003953AE"/>
    <w:pPr>
      <w:widowControl w:val="0"/>
      <w:suppressAutoHyphens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Footer">
    <w:name w:val="Footer"/>
    <w:basedOn w:val="HeaderandFooter"/>
    <w:rsid w:val="00395D2A"/>
  </w:style>
  <w:style w:type="table" w:styleId="ad">
    <w:name w:val="Table Grid"/>
    <w:basedOn w:val="a1"/>
    <w:uiPriority w:val="59"/>
    <w:rsid w:val="000D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.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69FF-5891-4ACD-BF18-38D410AF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2</cp:revision>
  <cp:lastPrinted>2025-04-14T04:09:00Z</cp:lastPrinted>
  <dcterms:created xsi:type="dcterms:W3CDTF">2025-04-14T04:11:00Z</dcterms:created>
  <dcterms:modified xsi:type="dcterms:W3CDTF">2025-04-14T04:11:00Z</dcterms:modified>
  <dc:language>ru-RU</dc:language>
</cp:coreProperties>
</file>